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26EC8FC1" w:rsidR="0047408E" w:rsidRPr="00D46A4D" w:rsidRDefault="00483678"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bookmarkStart w:id="0" w:name="_GoBack"/>
      <w:r>
        <w:rPr>
          <w:rFonts w:ascii="Times New Roman" w:hAnsi="Times New Roman"/>
          <w:bCs/>
          <w:sz w:val="24"/>
          <w:szCs w:val="24"/>
          <w:lang w:eastAsia="ja-JP"/>
        </w:rPr>
        <w:t>3GPP TSG-RAN WG2 Meeting #113bis-e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F23632" w:rsidRPr="00F23632">
        <w:t xml:space="preserve"> </w:t>
      </w:r>
      <w:r w:rsidR="00D67836" w:rsidRPr="00D67836">
        <w:rPr>
          <w:rFonts w:ascii="Times New Roman" w:hAnsi="Times New Roman"/>
          <w:bCs/>
          <w:sz w:val="24"/>
          <w:szCs w:val="24"/>
          <w:lang w:eastAsia="ja-JP"/>
        </w:rPr>
        <w:t>2102823</w:t>
      </w:r>
    </w:p>
    <w:p w14:paraId="29CDF947" w14:textId="14B2A193" w:rsidR="0047408E" w:rsidRPr="00D46A4D" w:rsidRDefault="00483678"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sidRPr="00FA48D2">
        <w:rPr>
          <w:rFonts w:ascii="Times New Roman" w:hAnsi="Times New Roman"/>
          <w:bCs/>
          <w:sz w:val="24"/>
          <w:szCs w:val="24"/>
          <w:lang w:eastAsia="ja-JP"/>
        </w:rPr>
        <w:t>April 12 – April 20, 2021</w:t>
      </w:r>
      <w:r w:rsidR="00B55AED" w:rsidRPr="00D46A4D">
        <w:rPr>
          <w:rFonts w:ascii="Times New Roman" w:hAnsi="Times New Roman"/>
          <w:bCs/>
          <w:sz w:val="24"/>
          <w:szCs w:val="24"/>
          <w:lang w:eastAsia="ja-JP"/>
        </w:rPr>
        <w:tab/>
      </w:r>
      <w:r w:rsidR="00516D66">
        <w:rPr>
          <w:rFonts w:ascii="Times New Roman" w:hAnsi="Times New Roman"/>
          <w:bCs/>
          <w:sz w:val="24"/>
          <w:szCs w:val="24"/>
          <w:lang w:eastAsia="ja-JP"/>
        </w:rPr>
        <w:t>Resubmission</w:t>
      </w:r>
      <w:r w:rsidR="004F668D">
        <w:rPr>
          <w:rFonts w:ascii="Times New Roman" w:hAnsi="Times New Roman"/>
          <w:bCs/>
          <w:sz w:val="24"/>
          <w:szCs w:val="24"/>
          <w:lang w:eastAsia="ja-JP"/>
        </w:rPr>
        <w:t xml:space="preserve"> of </w:t>
      </w:r>
      <w:r w:rsidR="004F668D" w:rsidRPr="004F668D">
        <w:rPr>
          <w:rFonts w:ascii="Times New Roman" w:hAnsi="Times New Roman"/>
          <w:bCs/>
          <w:sz w:val="24"/>
          <w:szCs w:val="24"/>
          <w:lang w:eastAsia="ja-JP"/>
        </w:rPr>
        <w:t>R2-</w:t>
      </w:r>
      <w:r w:rsidR="00A07680" w:rsidRPr="00F23632">
        <w:rPr>
          <w:rFonts w:ascii="Times New Roman" w:hAnsi="Times New Roman"/>
          <w:bCs/>
          <w:sz w:val="24"/>
          <w:szCs w:val="24"/>
          <w:lang w:eastAsia="ja-JP"/>
        </w:rPr>
        <w:t>2100262</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83AD8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9D24CF">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2CE905A9"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1318E9">
        <w:rPr>
          <w:rFonts w:ascii="Times New Roman" w:hAnsi="Times New Roman"/>
          <w:b/>
          <w:noProof/>
          <w:sz w:val="24"/>
        </w:rPr>
        <w:t xml:space="preserve">Round trip </w:t>
      </w:r>
      <w:r w:rsidR="00B07362">
        <w:rPr>
          <w:rFonts w:ascii="Times New Roman" w:hAnsi="Times New Roman"/>
          <w:b/>
          <w:noProof/>
          <w:sz w:val="24"/>
        </w:rPr>
        <w:t>delay</w:t>
      </w:r>
      <w:r w:rsidR="001318E9">
        <w:rPr>
          <w:rFonts w:ascii="Times New Roman" w:hAnsi="Times New Roman"/>
          <w:b/>
          <w:noProof/>
          <w:sz w:val="24"/>
        </w:rPr>
        <w:t xml:space="preserve"> offset for configured grant timers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63561886" w14:textId="1B47F9C4" w:rsidR="00F32BA5" w:rsidRDefault="00F32BA5" w:rsidP="00E86F99">
      <w:pPr>
        <w:overflowPunct/>
        <w:autoSpaceDE/>
        <w:autoSpaceDN/>
        <w:adjustRightInd/>
        <w:spacing w:after="160" w:line="259" w:lineRule="auto"/>
        <w:ind w:right="-99"/>
        <w:jc w:val="left"/>
        <w:textAlignment w:val="auto"/>
      </w:pPr>
      <w:r>
        <w:t>During the NR NTN study item, it was reco</w:t>
      </w:r>
      <w:r w:rsidR="00255500">
        <w:t>gnized early on that an offset sh</w:t>
      </w:r>
      <w:r>
        <w:t xml:space="preserve">ould be added to the timers in order to account for the large round trip delay (RTD) in non-terrestrial networks. It was </w:t>
      </w:r>
      <w:r w:rsidR="006F0EB5">
        <w:t>noted in the TR</w:t>
      </w:r>
      <w:r>
        <w:t xml:space="preserve"> that</w:t>
      </w:r>
      <w:r w:rsidR="00C40D72">
        <w:t xml:space="preserve"> </w:t>
      </w:r>
      <w:r w:rsidR="00C40D72">
        <w:fldChar w:fldCharType="begin"/>
      </w:r>
      <w:r w:rsidR="00C40D72">
        <w:instrText xml:space="preserve"> REF _Ref54167885 \r \h </w:instrText>
      </w:r>
      <w:r w:rsidR="00C40D72">
        <w:fldChar w:fldCharType="separate"/>
      </w:r>
      <w:r w:rsidR="00DB1AF2">
        <w:t>[1]</w:t>
      </w:r>
      <w:r w:rsidR="00C40D72">
        <w:fldChar w:fldCharType="end"/>
      </w:r>
      <w:r>
        <w:t>:</w:t>
      </w:r>
    </w:p>
    <w:tbl>
      <w:tblPr>
        <w:tblStyle w:val="TableGrid"/>
        <w:tblW w:w="0" w:type="auto"/>
        <w:tblInd w:w="279" w:type="dxa"/>
        <w:tblLook w:val="04A0" w:firstRow="1" w:lastRow="0" w:firstColumn="1" w:lastColumn="0" w:noHBand="0" w:noVBand="1"/>
      </w:tblPr>
      <w:tblGrid>
        <w:gridCol w:w="10177"/>
      </w:tblGrid>
      <w:tr w:rsidR="00AB7D70" w14:paraId="6E2226FD" w14:textId="77777777" w:rsidTr="00AB7D70">
        <w:tc>
          <w:tcPr>
            <w:tcW w:w="10177" w:type="dxa"/>
          </w:tcPr>
          <w:p w14:paraId="4670DD57" w14:textId="77777777" w:rsidR="00AB7D70" w:rsidRPr="009C044F" w:rsidRDefault="00AB7D70" w:rsidP="00AB7D70">
            <w:pPr>
              <w:ind w:left="284"/>
              <w:rPr>
                <w:i/>
              </w:rPr>
            </w:pPr>
            <w:r w:rsidRPr="009C044F">
              <w:rPr>
                <w:i/>
              </w:rPr>
              <w:t>In general,</w:t>
            </w:r>
          </w:p>
          <w:p w14:paraId="72E82240" w14:textId="77777777" w:rsidR="00AB7D70" w:rsidRPr="009C044F" w:rsidRDefault="00AB7D70" w:rsidP="00AB7D70">
            <w:pPr>
              <w:pStyle w:val="B3"/>
              <w:ind w:left="851"/>
              <w:rPr>
                <w:i/>
              </w:rPr>
            </w:pPr>
            <w:r w:rsidRPr="009C044F">
              <w:rPr>
                <w:i/>
              </w:rPr>
              <w:t>●</w:t>
            </w:r>
            <w:r w:rsidRPr="009C044F">
              <w:rPr>
                <w:i/>
              </w:rPr>
              <w:tab/>
              <w:t>Offset based solutions for timer adaptations are preferred to support all NTN scenarios.</w:t>
            </w:r>
          </w:p>
          <w:p w14:paraId="4E76F4AC" w14:textId="77777777" w:rsidR="00AB7D70" w:rsidRPr="009C044F" w:rsidRDefault="00AB7D70" w:rsidP="00AB7D70">
            <w:pPr>
              <w:pStyle w:val="B2"/>
              <w:ind w:left="568"/>
              <w:rPr>
                <w:i/>
              </w:rPr>
            </w:pPr>
            <w:r w:rsidRPr="009C044F">
              <w:rPr>
                <w:i/>
              </w:rPr>
              <w:t>Random access:</w:t>
            </w:r>
          </w:p>
          <w:p w14:paraId="44955B67" w14:textId="77777777" w:rsidR="00AB7D70" w:rsidRPr="009C044F" w:rsidRDefault="00AB7D70" w:rsidP="00AB7D70">
            <w:pPr>
              <w:pStyle w:val="B3"/>
              <w:ind w:left="852"/>
              <w:rPr>
                <w:i/>
              </w:rPr>
            </w:pPr>
            <w:r w:rsidRPr="009C044F">
              <w:rPr>
                <w:i/>
              </w:rPr>
              <w:t>•</w:t>
            </w:r>
            <w:r w:rsidRPr="009C044F">
              <w:rPr>
                <w:i/>
              </w:rPr>
              <w:tab/>
              <w:t xml:space="preserve">Definition of an offset for the start of the </w:t>
            </w:r>
            <w:proofErr w:type="spellStart"/>
            <w:r w:rsidRPr="009C044F">
              <w:rPr>
                <w:i/>
              </w:rPr>
              <w:t>ra-ResponseWindow</w:t>
            </w:r>
            <w:proofErr w:type="spellEnd"/>
            <w:r w:rsidRPr="009C044F">
              <w:rPr>
                <w:i/>
              </w:rPr>
              <w:t xml:space="preserve"> for NTN and extension of the </w:t>
            </w:r>
            <w:proofErr w:type="spellStart"/>
            <w:r w:rsidRPr="009C044F">
              <w:rPr>
                <w:i/>
              </w:rPr>
              <w:t>ra-ResponseWindow</w:t>
            </w:r>
            <w:proofErr w:type="spellEnd"/>
            <w:r w:rsidRPr="009C044F">
              <w:rPr>
                <w:i/>
              </w:rPr>
              <w:t xml:space="preserve"> duration to support UE without location information.</w:t>
            </w:r>
          </w:p>
          <w:p w14:paraId="30E04DFE" w14:textId="77777777" w:rsidR="00AB7D70" w:rsidRPr="009C044F" w:rsidRDefault="00AB7D70" w:rsidP="00AB7D70">
            <w:pPr>
              <w:pStyle w:val="B3"/>
              <w:ind w:left="851"/>
              <w:rPr>
                <w:i/>
              </w:rPr>
            </w:pPr>
            <w:r w:rsidRPr="009C044F">
              <w:rPr>
                <w:i/>
              </w:rPr>
              <w:t>•</w:t>
            </w:r>
            <w:r w:rsidRPr="009C044F">
              <w:rPr>
                <w:i/>
              </w:rPr>
              <w:tab/>
              <w:t xml:space="preserve">Introduction of an offset for the start of the </w:t>
            </w:r>
            <w:proofErr w:type="spellStart"/>
            <w:r w:rsidRPr="009C044F">
              <w:rPr>
                <w:i/>
              </w:rPr>
              <w:t>ra-ContentionResolutionTimer</w:t>
            </w:r>
            <w:proofErr w:type="spellEnd"/>
            <w:r w:rsidRPr="009C044F">
              <w:rPr>
                <w:i/>
              </w:rPr>
              <w:t xml:space="preserve"> to resolve Random access contention</w:t>
            </w:r>
          </w:p>
          <w:p w14:paraId="281CDF5E" w14:textId="77777777" w:rsidR="00AB7D70" w:rsidRPr="009C044F" w:rsidRDefault="00AB7D70" w:rsidP="00AB7D70">
            <w:pPr>
              <w:pStyle w:val="B2"/>
              <w:ind w:left="284"/>
              <w:rPr>
                <w:i/>
              </w:rPr>
            </w:pPr>
            <w:r w:rsidRPr="009C044F">
              <w:rPr>
                <w:i/>
              </w:rPr>
              <w:tab/>
              <w:t xml:space="preserve">DRX: </w:t>
            </w:r>
          </w:p>
          <w:p w14:paraId="01532795" w14:textId="2211991D" w:rsidR="00AB7D70" w:rsidRPr="00AB7D70" w:rsidRDefault="00AB7D70" w:rsidP="00AB7D70">
            <w:pPr>
              <w:pStyle w:val="B3"/>
              <w:ind w:left="851"/>
              <w:rPr>
                <w:i/>
              </w:rPr>
            </w:pPr>
            <w:r w:rsidRPr="009C044F">
              <w:rPr>
                <w:i/>
              </w:rPr>
              <w:t>•</w:t>
            </w:r>
            <w:r w:rsidRPr="009C044F">
              <w:rPr>
                <w:i/>
              </w:rPr>
              <w:tab/>
              <w:t xml:space="preserve">If HARQ feedback is enabled, an offset should be added for </w:t>
            </w:r>
            <w:proofErr w:type="spellStart"/>
            <w:r w:rsidRPr="009C044F">
              <w:rPr>
                <w:i/>
              </w:rPr>
              <w:t>drx</w:t>
            </w:r>
            <w:proofErr w:type="spellEnd"/>
            <w:r w:rsidRPr="009C044F">
              <w:rPr>
                <w:i/>
              </w:rPr>
              <w:t>-HARQ-RTT-</w:t>
            </w:r>
            <w:proofErr w:type="spellStart"/>
            <w:r w:rsidRPr="009C044F">
              <w:rPr>
                <w:i/>
              </w:rPr>
              <w:t>TimerDL</w:t>
            </w:r>
            <w:proofErr w:type="spellEnd"/>
            <w:r w:rsidRPr="009C044F">
              <w:rPr>
                <w:i/>
              </w:rPr>
              <w:t xml:space="preserve"> and </w:t>
            </w:r>
            <w:proofErr w:type="spellStart"/>
            <w:r w:rsidRPr="009C044F">
              <w:rPr>
                <w:i/>
              </w:rPr>
              <w:t>drx</w:t>
            </w:r>
            <w:proofErr w:type="spellEnd"/>
            <w:r w:rsidRPr="009C044F">
              <w:rPr>
                <w:i/>
              </w:rPr>
              <w:t>-HARQ-RTT-</w:t>
            </w:r>
            <w:proofErr w:type="spellStart"/>
            <w:r w:rsidRPr="009C044F">
              <w:rPr>
                <w:i/>
              </w:rPr>
              <w:t>TimerUL</w:t>
            </w:r>
            <w:proofErr w:type="spellEnd"/>
            <w:r w:rsidRPr="009C044F">
              <w:rPr>
                <w:i/>
              </w:rPr>
              <w:t>.</w:t>
            </w:r>
          </w:p>
        </w:tc>
      </w:tr>
    </w:tbl>
    <w:p w14:paraId="37906DB6" w14:textId="77777777" w:rsidR="00AB7D70" w:rsidRDefault="00AB7D70" w:rsidP="00E86F99">
      <w:pPr>
        <w:overflowPunct/>
        <w:autoSpaceDE/>
        <w:autoSpaceDN/>
        <w:adjustRightInd/>
        <w:spacing w:after="160" w:line="259" w:lineRule="auto"/>
        <w:ind w:right="-99"/>
        <w:jc w:val="left"/>
        <w:textAlignment w:val="auto"/>
      </w:pPr>
    </w:p>
    <w:p w14:paraId="0E4E0106" w14:textId="77777777" w:rsidR="006F0EB5" w:rsidRDefault="006F0EB5" w:rsidP="006F0EB5">
      <w:r>
        <w:t>During the study item, it was furthermore suggested that configured grants can be utilized to reduce the delays involved in scheduling UL data in NTN, by eliminating the need to transmit SR/BSR and receive the UL grant from the network.</w:t>
      </w:r>
    </w:p>
    <w:p w14:paraId="315CA1D5" w14:textId="07E03006" w:rsidR="00F32BA5" w:rsidRDefault="006F0EB5" w:rsidP="00E86F99">
      <w:pPr>
        <w:overflowPunct/>
        <w:autoSpaceDE/>
        <w:autoSpaceDN/>
        <w:adjustRightInd/>
        <w:spacing w:after="160" w:line="259" w:lineRule="auto"/>
        <w:ind w:right="-99"/>
        <w:jc w:val="left"/>
        <w:textAlignment w:val="auto"/>
      </w:pPr>
      <w:r>
        <w:t>In previous RAN2</w:t>
      </w:r>
      <w:r w:rsidR="00F32BA5">
        <w:t xml:space="preserve"> meeting</w:t>
      </w:r>
      <w:r>
        <w:t>s</w:t>
      </w:r>
      <w:r w:rsidR="00F32BA5">
        <w:t>, the following agreement</w:t>
      </w:r>
      <w:r w:rsidR="000D69A0">
        <w:t>s</w:t>
      </w:r>
      <w:r w:rsidR="00F32BA5">
        <w:t xml:space="preserve"> ha</w:t>
      </w:r>
      <w:r w:rsidR="000D69A0">
        <w:t>ve</w:t>
      </w:r>
      <w:r>
        <w:t xml:space="preserve"> been achieved </w:t>
      </w:r>
      <w:r>
        <w:fldChar w:fldCharType="begin"/>
      </w:r>
      <w:r>
        <w:instrText xml:space="preserve"> REF _Ref54167908 \r \h </w:instrText>
      </w:r>
      <w:r>
        <w:fldChar w:fldCharType="separate"/>
      </w:r>
      <w:r w:rsidR="00DB1AF2">
        <w:t>[2</w:t>
      </w:r>
      <w:proofErr w:type="gramStart"/>
      <w:r w:rsidR="00DB1AF2">
        <w:t>]</w:t>
      </w:r>
      <w:proofErr w:type="gramEnd"/>
      <w:r>
        <w:fldChar w:fldCharType="end"/>
      </w:r>
      <w:r>
        <w:fldChar w:fldCharType="begin"/>
      </w:r>
      <w:r>
        <w:instrText xml:space="preserve"> REF _Ref68006533 \r \h </w:instrText>
      </w:r>
      <w:r>
        <w:fldChar w:fldCharType="separate"/>
      </w:r>
      <w:r w:rsidR="00DB1AF2">
        <w:t>[3]</w:t>
      </w:r>
      <w:r>
        <w:fldChar w:fldCharType="end"/>
      </w:r>
      <w:r w:rsidR="00F32BA5">
        <w:t>:</w:t>
      </w:r>
    </w:p>
    <w:p w14:paraId="6CD33A84" w14:textId="79D24AD4"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b/>
          <w:lang w:val="en-GB"/>
        </w:rPr>
      </w:pPr>
      <w:r w:rsidRPr="006F0EB5">
        <w:rPr>
          <w:b/>
          <w:lang w:val="en-GB"/>
        </w:rPr>
        <w:t>RAN2#111e:</w:t>
      </w:r>
    </w:p>
    <w:p w14:paraId="7E78C2B3" w14:textId="77777777"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lang w:val="en-GB"/>
        </w:rPr>
      </w:pPr>
    </w:p>
    <w:p w14:paraId="51480FF8" w14:textId="77777777" w:rsidR="00F32BA5" w:rsidRPr="009C044F"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 xml:space="preserve">From RAN2 perspective, an offset is applied to the start of </w:t>
      </w:r>
      <w:proofErr w:type="spellStart"/>
      <w:r w:rsidRPr="009C044F">
        <w:rPr>
          <w:i/>
        </w:rPr>
        <w:t>ra-ResponseWindow</w:t>
      </w:r>
      <w:proofErr w:type="spellEnd"/>
      <w:r w:rsidRPr="009C044F">
        <w:rPr>
          <w:i/>
        </w:rPr>
        <w:t xml:space="preserve"> in NTN for both LEO and GEO scenarios.</w:t>
      </w:r>
    </w:p>
    <w:p w14:paraId="54996B65" w14:textId="77777777" w:rsidR="00F32BA5"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 xml:space="preserve">An offset to the start of the </w:t>
      </w:r>
      <w:proofErr w:type="spellStart"/>
      <w:r w:rsidRPr="009C044F">
        <w:rPr>
          <w:i/>
        </w:rPr>
        <w:t>ra-ContentionResolutionTimer</w:t>
      </w:r>
      <w:proofErr w:type="spellEnd"/>
      <w:r w:rsidRPr="009C044F">
        <w:rPr>
          <w:i/>
        </w:rPr>
        <w:t xml:space="preserve"> is introduced for both LEO and GEO scenarios.</w:t>
      </w:r>
    </w:p>
    <w:p w14:paraId="0C039345" w14:textId="77777777" w:rsid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i/>
        </w:rPr>
      </w:pPr>
    </w:p>
    <w:p w14:paraId="38CE2248" w14:textId="54AF9E7E"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b/>
          <w:lang w:val="en-GB"/>
        </w:rPr>
      </w:pPr>
      <w:r>
        <w:rPr>
          <w:b/>
          <w:lang w:val="en-GB"/>
        </w:rPr>
        <w:t>RAN2#113</w:t>
      </w:r>
      <w:r w:rsidRPr="006F0EB5">
        <w:rPr>
          <w:b/>
          <w:lang w:val="en-GB"/>
        </w:rPr>
        <w:t>e:</w:t>
      </w:r>
    </w:p>
    <w:p w14:paraId="1B97B531" w14:textId="77777777" w:rsid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lang w:val="en-GB"/>
        </w:rPr>
      </w:pPr>
    </w:p>
    <w:p w14:paraId="3AC586E3" w14:textId="51AC147E" w:rsidR="006F0EB5" w:rsidRPr="006F0EB5" w:rsidRDefault="006F0EB5" w:rsidP="006F0EB5">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szCs w:val="20"/>
        </w:rPr>
      </w:pPr>
      <w:r>
        <w:rPr>
          <w:i/>
          <w:lang w:val="en-GB"/>
        </w:rPr>
        <w:t xml:space="preserve"> </w:t>
      </w:r>
      <w:r w:rsidRPr="006F0EB5">
        <w:rPr>
          <w:i/>
          <w:color w:val="000000"/>
          <w:szCs w:val="20"/>
          <w:lang w:val="en-GB"/>
        </w:rPr>
        <w:t>Both Type 1 and Type 2 configured grant are feasible in NTN</w:t>
      </w:r>
    </w:p>
    <w:p w14:paraId="5705FBBF" w14:textId="77777777" w:rsidR="006F0EB5" w:rsidRPr="009C044F"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i/>
        </w:rPr>
      </w:pPr>
    </w:p>
    <w:p w14:paraId="630CAD16" w14:textId="77777777" w:rsidR="00F32BA5" w:rsidRDefault="00F32BA5" w:rsidP="00F32BA5">
      <w:pPr>
        <w:overflowPunct/>
        <w:autoSpaceDE/>
        <w:autoSpaceDN/>
        <w:adjustRightInd/>
        <w:spacing w:after="160" w:line="259" w:lineRule="auto"/>
        <w:ind w:left="360" w:right="-99"/>
        <w:jc w:val="left"/>
        <w:textAlignment w:val="auto"/>
      </w:pPr>
    </w:p>
    <w:p w14:paraId="5C2C9B81" w14:textId="662CF2F1"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C6519F">
        <w:t xml:space="preserve"> the impact of round trip delay in NTN </w:t>
      </w:r>
      <w:r w:rsidR="001318E9">
        <w:t>on</w:t>
      </w:r>
      <w:r w:rsidR="005F28FA">
        <w:t xml:space="preserve"> the</w:t>
      </w:r>
      <w:r w:rsidR="001318E9">
        <w:t xml:space="preserve"> </w:t>
      </w:r>
      <w:r w:rsidR="00C6519F">
        <w:t xml:space="preserve">configured grant </w:t>
      </w:r>
      <w:r w:rsidR="001318E9">
        <w:t xml:space="preserve">and </w:t>
      </w:r>
      <w:r w:rsidR="00C6519F">
        <w:t>configured grant retransmission timers</w:t>
      </w:r>
      <w:r w:rsidR="0002208B">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2794AB8C" w14:textId="6E33523F" w:rsidR="00651A30" w:rsidRDefault="00651A30" w:rsidP="00552344">
      <w:r>
        <w:t xml:space="preserve">UE based pre-compensation of round trip delay (RTD) has been agreed as one of the mechanisms </w:t>
      </w:r>
      <w:r w:rsidR="00B459D9">
        <w:t xml:space="preserve">for delay compensation </w:t>
      </w:r>
      <w:r>
        <w:t xml:space="preserve">in NTN. </w:t>
      </w:r>
      <w:r w:rsidR="00061641">
        <w:t>With this mechanism,</w:t>
      </w:r>
      <w:r w:rsidR="00C6519F">
        <w:t xml:space="preserve"> a</w:t>
      </w:r>
      <w:r>
        <w:t xml:space="preserve"> UE </w:t>
      </w:r>
      <w:r w:rsidR="00C6519F">
        <w:t>with GNSS capability can</w:t>
      </w:r>
      <w:r>
        <w:t xml:space="preserve"> </w:t>
      </w:r>
      <w:r w:rsidR="00C6519F">
        <w:t>calculate</w:t>
      </w:r>
      <w:r>
        <w:t xml:space="preserve"> the </w:t>
      </w:r>
      <w:r w:rsidR="003748A2">
        <w:t>delay</w:t>
      </w:r>
      <w:r>
        <w:t xml:space="preserve"> between the UE and the </w:t>
      </w:r>
      <w:proofErr w:type="spellStart"/>
      <w:r>
        <w:t>gNB</w:t>
      </w:r>
      <w:proofErr w:type="spellEnd"/>
      <w:r>
        <w:t xml:space="preserve">, </w:t>
      </w:r>
      <w:r w:rsidR="00C6519F">
        <w:t>and it</w:t>
      </w:r>
      <w:r>
        <w:t xml:space="preserve"> </w:t>
      </w:r>
      <w:r w:rsidR="00061641">
        <w:t>applies a</w:t>
      </w:r>
      <w:r w:rsidR="00575FF2">
        <w:t>n</w:t>
      </w:r>
      <w:r>
        <w:t xml:space="preserve"> </w:t>
      </w:r>
      <w:r w:rsidR="00061641">
        <w:t xml:space="preserve">offset </w:t>
      </w:r>
      <w:r w:rsidR="00575FF2">
        <w:t>to</w:t>
      </w:r>
      <w:r>
        <w:t xml:space="preserve"> various timers in MAC layer, such as </w:t>
      </w:r>
      <w:proofErr w:type="spellStart"/>
      <w:r w:rsidR="00A51F5B">
        <w:t>ra</w:t>
      </w:r>
      <w:r>
        <w:t>-</w:t>
      </w:r>
      <w:r w:rsidR="00A51F5B">
        <w:t>ResponseWindow</w:t>
      </w:r>
      <w:proofErr w:type="spellEnd"/>
      <w:r w:rsidR="00A51F5B">
        <w:t xml:space="preserve">, </w:t>
      </w:r>
      <w:proofErr w:type="spellStart"/>
      <w:r w:rsidR="00A51F5B">
        <w:t>m</w:t>
      </w:r>
      <w:r>
        <w:t>sgB-</w:t>
      </w:r>
      <w:r w:rsidR="00A51F5B">
        <w:t>R</w:t>
      </w:r>
      <w:r w:rsidR="00C6519F">
        <w:t>esponseW</w:t>
      </w:r>
      <w:r>
        <w:t>indow</w:t>
      </w:r>
      <w:proofErr w:type="spellEnd"/>
      <w:r>
        <w:t xml:space="preserve">, and </w:t>
      </w:r>
      <w:proofErr w:type="spellStart"/>
      <w:r w:rsidR="00A51F5B">
        <w:t>ra-ContentionResolutionT</w:t>
      </w:r>
      <w:r>
        <w:t>imer</w:t>
      </w:r>
      <w:proofErr w:type="spellEnd"/>
      <w:r>
        <w:t>.</w:t>
      </w:r>
    </w:p>
    <w:p w14:paraId="0D85EBD6" w14:textId="53960891" w:rsidR="00651A30" w:rsidRDefault="005133A0" w:rsidP="00552344">
      <w:r>
        <w:t>In Rel-15 and Rel-16, w</w:t>
      </w:r>
      <w:r w:rsidR="00651A30">
        <w:t>hen a transmission is perfor</w:t>
      </w:r>
      <w:r w:rsidR="002516F7">
        <w:t>med on a HARQ process using a configured grant (CG)</w:t>
      </w:r>
      <w:r w:rsidR="00651A30">
        <w:t xml:space="preserve">, a configured grant timer (CGT) is started, if configured. While CGT is running, the HARQ process is protected and cannot be overwritten by new data. CGT </w:t>
      </w:r>
      <w:r w:rsidR="00C9046D">
        <w:t xml:space="preserve">value </w:t>
      </w:r>
      <w:r w:rsidR="00651A30">
        <w:t xml:space="preserve">is normally </w:t>
      </w:r>
      <w:r w:rsidR="00C9046D">
        <w:t>determined</w:t>
      </w:r>
      <w:r w:rsidR="00651A30">
        <w:t xml:space="preserve"> considering the delay it takes for the UE to receive an </w:t>
      </w:r>
      <w:r>
        <w:t>UL grant addressed with CS-RNTI</w:t>
      </w:r>
      <w:r w:rsidR="00651A30">
        <w:t xml:space="preserve"> for retransmission from the network. If the CGT is large, HARQ processes will be waiting for potential UL retransmission grants for a longer </w:t>
      </w:r>
      <w:r>
        <w:t>duration</w:t>
      </w:r>
      <w:r w:rsidR="00651A30">
        <w:t>.</w:t>
      </w:r>
    </w:p>
    <w:p w14:paraId="3CEFEF5A" w14:textId="3A8A4317" w:rsidR="00651A30" w:rsidRDefault="00651A30" w:rsidP="00552344">
      <w:r>
        <w:lastRenderedPageBreak/>
        <w:t>In NTN, the RTD can differ significantly between the UEs at the near edge of the beam (</w:t>
      </w:r>
      <w:r w:rsidR="00AB7D70">
        <w:t>near</w:t>
      </w:r>
      <w:r>
        <w:t xml:space="preserve"> UEs) and the UEs at the far edge of the beam (far UEs), this is called the differential delay.</w:t>
      </w:r>
      <w:r w:rsidR="00C40D72">
        <w:t xml:space="preserve"> The differential delay can be up to 10.3ms for GEO, 3.12ms for LEO at an orbit of 600km, and 3.18ms for LEO at an orbit of 1200km.</w:t>
      </w:r>
    </w:p>
    <w:p w14:paraId="557F6676" w14:textId="73040FDB" w:rsidR="00651A30" w:rsidRDefault="00AB7D70" w:rsidP="00552344">
      <w:r>
        <w:t xml:space="preserve">When configuring the </w:t>
      </w:r>
      <w:r w:rsidR="00F20784">
        <w:t>CGT</w:t>
      </w:r>
      <w:r w:rsidR="00651A30">
        <w:t xml:space="preserve"> </w:t>
      </w:r>
      <w:r>
        <w:t>value for a UE, the network could consider</w:t>
      </w:r>
      <w:r w:rsidR="00651A30">
        <w:t xml:space="preserve"> the </w:t>
      </w:r>
      <w:r>
        <w:t>worst case, or largest possible</w:t>
      </w:r>
      <w:r w:rsidR="00651A30">
        <w:t xml:space="preserve"> RTD </w:t>
      </w:r>
      <w:r w:rsidR="00F20784">
        <w:t>value</w:t>
      </w:r>
      <w:r>
        <w:t xml:space="preserve"> for the cell</w:t>
      </w:r>
      <w:r w:rsidR="00F20784">
        <w:t xml:space="preserve"> </w:t>
      </w:r>
      <w:r w:rsidR="00651A30">
        <w:t xml:space="preserve">(i.e. far UEs). However, </w:t>
      </w:r>
      <w:r>
        <w:t>this will cause</w:t>
      </w:r>
      <w:r w:rsidR="00651A30">
        <w:t xml:space="preserve"> the near UEs </w:t>
      </w:r>
      <w:r>
        <w:t>to wait</w:t>
      </w:r>
      <w:r w:rsidR="00651A30">
        <w:t xml:space="preserve"> </w:t>
      </w:r>
      <w:r w:rsidR="00FC6D06">
        <w:t>longer than necessary</w:t>
      </w:r>
      <w:r w:rsidR="00651A30">
        <w:t xml:space="preserve"> for an UL ret</w:t>
      </w:r>
      <w:r>
        <w:t>ransmission grant and might</w:t>
      </w:r>
      <w:r w:rsidR="00651A30">
        <w:t xml:space="preserve"> cause </w:t>
      </w:r>
      <w:r w:rsidR="004506C7">
        <w:t xml:space="preserve">a </w:t>
      </w:r>
      <w:r w:rsidR="00651A30">
        <w:t>waste of CG resources for the near UEs (i.e. the UE will not use the CG occasion for new transmission even though the network has successfully received the previous transmission and decided not to send a retransmission grant).</w:t>
      </w:r>
    </w:p>
    <w:p w14:paraId="791B3D1F" w14:textId="0A503C06" w:rsidR="00A93AFE" w:rsidRPr="00A93AFE" w:rsidRDefault="00A93AFE" w:rsidP="00552344">
      <w:pPr>
        <w:rPr>
          <w:b/>
        </w:rPr>
      </w:pPr>
      <w:r w:rsidRPr="00A93AFE">
        <w:rPr>
          <w:b/>
        </w:rPr>
        <w:t>Observation</w:t>
      </w:r>
      <w:r w:rsidR="00F26B4B">
        <w:rPr>
          <w:b/>
        </w:rPr>
        <w:t xml:space="preserve"> 1</w:t>
      </w:r>
      <w:r w:rsidRPr="00A93AFE">
        <w:rPr>
          <w:b/>
        </w:rPr>
        <w:t xml:space="preserve">: </w:t>
      </w:r>
      <w:r>
        <w:rPr>
          <w:b/>
        </w:rPr>
        <w:t>If</w:t>
      </w:r>
      <w:r w:rsidRPr="00A93AFE">
        <w:rPr>
          <w:b/>
        </w:rPr>
        <w:t xml:space="preserve"> the </w:t>
      </w:r>
      <w:r w:rsidR="00F26B4B">
        <w:rPr>
          <w:b/>
        </w:rPr>
        <w:t>CGT value is based on the worst case (</w:t>
      </w:r>
      <w:r w:rsidRPr="00A93AFE">
        <w:rPr>
          <w:b/>
        </w:rPr>
        <w:t>largest RTD</w:t>
      </w:r>
      <w:r w:rsidR="00AB7D70">
        <w:rPr>
          <w:b/>
        </w:rPr>
        <w:t xml:space="preserve"> for the cell</w:t>
      </w:r>
      <w:r w:rsidR="00F26B4B">
        <w:rPr>
          <w:b/>
        </w:rPr>
        <w:t>)</w:t>
      </w:r>
      <w:r>
        <w:rPr>
          <w:b/>
        </w:rPr>
        <w:t xml:space="preserve"> for all UEs, there </w:t>
      </w:r>
      <w:r w:rsidR="00F26B4B">
        <w:rPr>
          <w:b/>
        </w:rPr>
        <w:t>may</w:t>
      </w:r>
      <w:r>
        <w:rPr>
          <w:b/>
        </w:rPr>
        <w:t xml:space="preserve"> be a</w:t>
      </w:r>
      <w:r w:rsidRPr="00A93AFE">
        <w:rPr>
          <w:b/>
        </w:rPr>
        <w:t xml:space="preserve"> waste of configured grant resources for some (near) UEs.</w:t>
      </w:r>
    </w:p>
    <w:p w14:paraId="5BBE20FE" w14:textId="211D293B" w:rsidR="00651A30" w:rsidRDefault="004506C7" w:rsidP="00552344">
      <w:r>
        <w:t>Alternatively</w:t>
      </w:r>
      <w:r w:rsidR="00651A30">
        <w:t xml:space="preserve">, each UE could apply its individual pre-compensation offset to the CGT. For example, a base CGT value could be configured by the network, which </w:t>
      </w:r>
      <w:r w:rsidR="006A50F6">
        <w:t>represents</w:t>
      </w:r>
      <w:r w:rsidR="00651A30">
        <w:t xml:space="preserve"> the </w:t>
      </w:r>
      <w:r w:rsidR="00094581">
        <w:t>processing</w:t>
      </w:r>
      <w:r w:rsidR="00651A30">
        <w:t xml:space="preserve"> </w:t>
      </w:r>
      <w:r w:rsidR="006A50F6">
        <w:t xml:space="preserve">time </w:t>
      </w:r>
      <w:r w:rsidR="00094581">
        <w:t xml:space="preserve">in </w:t>
      </w:r>
      <w:r w:rsidR="004321C4">
        <w:t>the network</w:t>
      </w:r>
      <w:r w:rsidR="00651A30">
        <w:t>. Each UE could add the UE specific RTD to the base CGT value.</w:t>
      </w:r>
      <w:r w:rsidR="00A93AFE">
        <w:t xml:space="preserve"> As illustrated in </w:t>
      </w:r>
      <w:r w:rsidR="00A93AFE">
        <w:fldChar w:fldCharType="begin"/>
      </w:r>
      <w:r w:rsidR="00A93AFE">
        <w:instrText xml:space="preserve"> REF _Ref54169901 \h </w:instrText>
      </w:r>
      <w:r w:rsidR="00A93AFE">
        <w:fldChar w:fldCharType="separate"/>
      </w:r>
      <w:r w:rsidR="00DB1AF2">
        <w:t xml:space="preserve">Figure </w:t>
      </w:r>
      <w:r w:rsidR="00DB1AF2">
        <w:rPr>
          <w:noProof/>
        </w:rPr>
        <w:t>1</w:t>
      </w:r>
      <w:r w:rsidR="00A93AFE">
        <w:fldChar w:fldCharType="end"/>
      </w:r>
      <w:r w:rsidR="00A93AFE">
        <w:t xml:space="preserve"> below, this can improve the utilization of CG resources for the near UEs.</w:t>
      </w:r>
    </w:p>
    <w:p w14:paraId="2DA92C57" w14:textId="77777777" w:rsidR="00F47CDD" w:rsidRDefault="007C46F6" w:rsidP="00F47CDD">
      <w:pPr>
        <w:keepNext/>
      </w:pPr>
      <w:r w:rsidRPr="007C46F6">
        <w:rPr>
          <w:noProof/>
          <w:lang w:val="en-US"/>
        </w:rPr>
        <w:drawing>
          <wp:inline distT="0" distB="0" distL="0" distR="0" wp14:anchorId="6B0EAF81" wp14:editId="6BEC437F">
            <wp:extent cx="6645910" cy="336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364230"/>
                    </a:xfrm>
                    <a:prstGeom prst="rect">
                      <a:avLst/>
                    </a:prstGeom>
                    <a:noFill/>
                    <a:ln>
                      <a:noFill/>
                    </a:ln>
                  </pic:spPr>
                </pic:pic>
              </a:graphicData>
            </a:graphic>
          </wp:inline>
        </w:drawing>
      </w:r>
    </w:p>
    <w:p w14:paraId="204A966B" w14:textId="4EBCF544" w:rsidR="007C46F6" w:rsidRDefault="00F47CDD" w:rsidP="00F47CDD">
      <w:pPr>
        <w:pStyle w:val="Caption"/>
        <w:jc w:val="center"/>
      </w:pPr>
      <w:bookmarkStart w:id="3" w:name="_Ref54169901"/>
      <w:r>
        <w:t xml:space="preserve">Figure </w:t>
      </w:r>
      <w:r w:rsidR="00CA7F2D">
        <w:rPr>
          <w:noProof/>
        </w:rPr>
        <w:fldChar w:fldCharType="begin"/>
      </w:r>
      <w:r w:rsidR="00CA7F2D">
        <w:rPr>
          <w:noProof/>
        </w:rPr>
        <w:instrText xml:space="preserve"> SEQ Figure \* ARABIC </w:instrText>
      </w:r>
      <w:r w:rsidR="00CA7F2D">
        <w:rPr>
          <w:noProof/>
        </w:rPr>
        <w:fldChar w:fldCharType="separate"/>
      </w:r>
      <w:r w:rsidR="00DB1AF2">
        <w:rPr>
          <w:noProof/>
        </w:rPr>
        <w:t>1</w:t>
      </w:r>
      <w:r w:rsidR="00CA7F2D">
        <w:rPr>
          <w:noProof/>
        </w:rPr>
        <w:fldChar w:fldCharType="end"/>
      </w:r>
      <w:bookmarkEnd w:id="3"/>
      <w:r>
        <w:t xml:space="preserve"> Large/small RTD impact on CGT</w:t>
      </w:r>
    </w:p>
    <w:p w14:paraId="61E65BF7" w14:textId="77777777" w:rsidR="007C46F6" w:rsidRDefault="007C46F6" w:rsidP="00552344"/>
    <w:p w14:paraId="16BE2FBA" w14:textId="77777777" w:rsidR="00412D22" w:rsidRDefault="00651A30" w:rsidP="00552344">
      <w:r>
        <w:t>In Rel-16 NR-U work item, a mechanism for autonomous retransmission on CGs have been introduced. A CG retransmission timer (CGRT) is started each time a transmission is performed on a CG. If the timer is not running, the UE can retransmit the MAC PDU on a CG occasion. C</w:t>
      </w:r>
      <w:r w:rsidR="0071171C">
        <w:t>G</w:t>
      </w:r>
      <w:r>
        <w:t xml:space="preserve">T is not restarted if autonomous retransmission is performed. </w:t>
      </w:r>
      <w:r w:rsidR="00412D22">
        <w:t>The UE selects the HARQ process ID when performing the transmissions and indicates it in CG-UCI.</w:t>
      </w:r>
    </w:p>
    <w:p w14:paraId="42B122FD" w14:textId="061221CA" w:rsidR="00F26B4B" w:rsidRDefault="00651A30" w:rsidP="00552344">
      <w:r>
        <w:t xml:space="preserve">CGRT can </w:t>
      </w:r>
      <w:r w:rsidR="004D5DD3">
        <w:t xml:space="preserve">also </w:t>
      </w:r>
      <w:r>
        <w:t>be considered as the minimum time a retransmission gr</w:t>
      </w:r>
      <w:r w:rsidR="00B91F92">
        <w:t>ant can be received by the UE. If autonomous retransmissions are supported for configured grants in NTN, s</w:t>
      </w:r>
      <w:r>
        <w:t xml:space="preserve">imilar arguments </w:t>
      </w:r>
      <w:r w:rsidR="009772B6">
        <w:t>can be made</w:t>
      </w:r>
      <w:r>
        <w:t xml:space="preserve"> with respect to the relation between CGRT and UE specific RTD.</w:t>
      </w:r>
      <w:r w:rsidR="00A93AFE">
        <w:t xml:space="preserve"> </w:t>
      </w:r>
      <w:r w:rsidR="00F26B4B">
        <w:t>If the value of CGRT is based on the worst case (largest RTD), autonomous retransmissions for the near UEs may be delayed unnecessarily.</w:t>
      </w:r>
    </w:p>
    <w:p w14:paraId="352A90D6" w14:textId="432C6036" w:rsidR="00F26B4B" w:rsidRDefault="00F26B4B" w:rsidP="00552344">
      <w:r w:rsidRPr="00A93AFE">
        <w:rPr>
          <w:b/>
        </w:rPr>
        <w:t>Observation</w:t>
      </w:r>
      <w:r w:rsidR="00AB7D70">
        <w:rPr>
          <w:b/>
        </w:rPr>
        <w:t xml:space="preserve"> 2</w:t>
      </w:r>
      <w:r w:rsidRPr="00A93AFE">
        <w:rPr>
          <w:b/>
        </w:rPr>
        <w:t xml:space="preserve">: </w:t>
      </w:r>
      <w:r>
        <w:rPr>
          <w:b/>
        </w:rPr>
        <w:t>If</w:t>
      </w:r>
      <w:r w:rsidRPr="00A93AFE">
        <w:rPr>
          <w:b/>
        </w:rPr>
        <w:t xml:space="preserve"> the </w:t>
      </w:r>
      <w:r>
        <w:rPr>
          <w:b/>
        </w:rPr>
        <w:t>CGRT value is always based on the worst case (</w:t>
      </w:r>
      <w:r w:rsidRPr="00A93AFE">
        <w:rPr>
          <w:b/>
        </w:rPr>
        <w:t>largest RTD</w:t>
      </w:r>
      <w:r w:rsidR="00AB7D70">
        <w:rPr>
          <w:b/>
        </w:rPr>
        <w:t xml:space="preserve"> for the cell</w:t>
      </w:r>
      <w:r>
        <w:rPr>
          <w:b/>
        </w:rPr>
        <w:t xml:space="preserve">) for all UEs, </w:t>
      </w:r>
      <w:r w:rsidR="00F9379D">
        <w:rPr>
          <w:b/>
        </w:rPr>
        <w:t xml:space="preserve">autonomous </w:t>
      </w:r>
      <w:r>
        <w:rPr>
          <w:b/>
        </w:rPr>
        <w:t>retransmissions on CGs may be delayed unnecessarily for some (near) UEs.</w:t>
      </w:r>
    </w:p>
    <w:p w14:paraId="20F555BB" w14:textId="3A926735" w:rsidR="00651A30" w:rsidRDefault="00F9379D" w:rsidP="00552344">
      <w:r>
        <w:t>Therefore, i</w:t>
      </w:r>
      <w:r w:rsidR="002B6617">
        <w:t>f</w:t>
      </w:r>
      <w:r w:rsidR="00651A30">
        <w:t xml:space="preserve"> CGRT is configured, a UE specific pre-compensation offset can also be applied to CGRT.</w:t>
      </w:r>
      <w:r w:rsidR="00A93AFE">
        <w:t xml:space="preserve"> As illustrated in </w:t>
      </w:r>
      <w:r w:rsidR="00A93AFE">
        <w:fldChar w:fldCharType="begin"/>
      </w:r>
      <w:r w:rsidR="00A93AFE">
        <w:instrText xml:space="preserve"> REF _Ref54169919 \h </w:instrText>
      </w:r>
      <w:r w:rsidR="00A93AFE">
        <w:fldChar w:fldCharType="separate"/>
      </w:r>
      <w:r w:rsidR="00DB1AF2">
        <w:t xml:space="preserve">Figure </w:t>
      </w:r>
      <w:r w:rsidR="00DB1AF2">
        <w:rPr>
          <w:noProof/>
        </w:rPr>
        <w:t>2</w:t>
      </w:r>
      <w:r w:rsidR="00A93AFE">
        <w:fldChar w:fldCharType="end"/>
      </w:r>
      <w:r w:rsidR="00A93AFE">
        <w:t xml:space="preserve"> below, this will enable the near UEs to perform retransmissions on CGs earlier and can improve </w:t>
      </w:r>
      <w:r>
        <w:t xml:space="preserve">the </w:t>
      </w:r>
      <w:r w:rsidR="00A93AFE">
        <w:t>latency for these UEs.</w:t>
      </w:r>
    </w:p>
    <w:p w14:paraId="3495F080" w14:textId="77777777" w:rsidR="00F47CDD" w:rsidRDefault="00412D22" w:rsidP="00F47CDD">
      <w:pPr>
        <w:keepNext/>
      </w:pPr>
      <w:r w:rsidRPr="00412D22">
        <w:rPr>
          <w:noProof/>
          <w:lang w:val="en-US"/>
        </w:rPr>
        <w:lastRenderedPageBreak/>
        <w:drawing>
          <wp:inline distT="0" distB="0" distL="0" distR="0" wp14:anchorId="2B8F3DBE" wp14:editId="7D03D2E2">
            <wp:extent cx="6645910" cy="29364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2936433"/>
                    </a:xfrm>
                    <a:prstGeom prst="rect">
                      <a:avLst/>
                    </a:prstGeom>
                    <a:noFill/>
                    <a:ln>
                      <a:noFill/>
                    </a:ln>
                  </pic:spPr>
                </pic:pic>
              </a:graphicData>
            </a:graphic>
          </wp:inline>
        </w:drawing>
      </w:r>
    </w:p>
    <w:p w14:paraId="1E0CFCBB" w14:textId="65B7D00A" w:rsidR="00412D22" w:rsidRDefault="00F47CDD" w:rsidP="00F47CDD">
      <w:pPr>
        <w:pStyle w:val="Caption"/>
        <w:jc w:val="center"/>
      </w:pPr>
      <w:bookmarkStart w:id="4" w:name="_Ref54169919"/>
      <w:r>
        <w:t xml:space="preserve">Figure </w:t>
      </w:r>
      <w:r w:rsidR="00CA7F2D">
        <w:rPr>
          <w:noProof/>
        </w:rPr>
        <w:fldChar w:fldCharType="begin"/>
      </w:r>
      <w:r w:rsidR="00CA7F2D">
        <w:rPr>
          <w:noProof/>
        </w:rPr>
        <w:instrText xml:space="preserve"> SEQ Figure \* ARABIC </w:instrText>
      </w:r>
      <w:r w:rsidR="00CA7F2D">
        <w:rPr>
          <w:noProof/>
        </w:rPr>
        <w:fldChar w:fldCharType="separate"/>
      </w:r>
      <w:r w:rsidR="00DB1AF2">
        <w:rPr>
          <w:noProof/>
        </w:rPr>
        <w:t>2</w:t>
      </w:r>
      <w:r w:rsidR="00CA7F2D">
        <w:rPr>
          <w:noProof/>
        </w:rPr>
        <w:fldChar w:fldCharType="end"/>
      </w:r>
      <w:bookmarkEnd w:id="4"/>
      <w:r>
        <w:t xml:space="preserve"> </w:t>
      </w:r>
      <w:r w:rsidR="00A93AFE">
        <w:t xml:space="preserve">Large/small RTD impact on </w:t>
      </w:r>
      <w:r>
        <w:t>CGRT</w:t>
      </w:r>
    </w:p>
    <w:p w14:paraId="73485691" w14:textId="77777777" w:rsidR="00412D22" w:rsidRDefault="00412D22" w:rsidP="00552344"/>
    <w:p w14:paraId="29D01CF4" w14:textId="7C8D8B5A" w:rsidR="00A93AFE" w:rsidRDefault="005C6F4B" w:rsidP="00552344">
      <w:r>
        <w:t>Based on the observations above, we</w:t>
      </w:r>
      <w:r w:rsidR="00A93AFE">
        <w:t xml:space="preserve"> make the following proposal regarding the configured grant timer and </w:t>
      </w:r>
      <w:r w:rsidR="00AB7D70">
        <w:t xml:space="preserve">the </w:t>
      </w:r>
      <w:r w:rsidR="00A93AFE">
        <w:t>configured grant retransmission timer</w:t>
      </w:r>
      <w:r w:rsidR="00F9379D">
        <w:t xml:space="preserve"> </w:t>
      </w:r>
      <w:r w:rsidR="00A93AFE">
        <w:t>in NTN:</w:t>
      </w:r>
    </w:p>
    <w:p w14:paraId="7510E22C" w14:textId="55B26174" w:rsidR="0002208B" w:rsidRPr="0002208B" w:rsidRDefault="0002208B" w:rsidP="00552344">
      <w:pPr>
        <w:rPr>
          <w:b/>
        </w:rPr>
      </w:pPr>
      <w:r w:rsidRPr="0002208B">
        <w:rPr>
          <w:b/>
        </w:rPr>
        <w:t>Proposal:</w:t>
      </w:r>
      <w:r w:rsidR="001318E9">
        <w:rPr>
          <w:b/>
        </w:rPr>
        <w:t xml:space="preserve"> UE</w:t>
      </w:r>
      <w:r w:rsidR="00AB7D70">
        <w:rPr>
          <w:b/>
        </w:rPr>
        <w:t xml:space="preserve"> specific</w:t>
      </w:r>
      <w:r w:rsidR="001318E9">
        <w:rPr>
          <w:b/>
        </w:rPr>
        <w:t xml:space="preserve"> pre-compensation offset</w:t>
      </w:r>
      <w:r w:rsidR="007B2E8F">
        <w:rPr>
          <w:b/>
        </w:rPr>
        <w:t xml:space="preserve"> for round trip delay (RTD)</w:t>
      </w:r>
      <w:r w:rsidR="001318E9">
        <w:rPr>
          <w:b/>
        </w:rPr>
        <w:t xml:space="preserve"> is applied </w:t>
      </w:r>
      <w:r w:rsidR="002F61CF">
        <w:rPr>
          <w:b/>
        </w:rPr>
        <w:t xml:space="preserve">to CGT </w:t>
      </w:r>
      <w:r w:rsidR="00BE0690">
        <w:rPr>
          <w:b/>
        </w:rPr>
        <w:t xml:space="preserve">and CGRT </w:t>
      </w:r>
      <w:r w:rsidR="00F47CDD">
        <w:rPr>
          <w:b/>
        </w:rPr>
        <w:t>(</w:t>
      </w:r>
      <w:r w:rsidR="002F61CF">
        <w:rPr>
          <w:b/>
        </w:rPr>
        <w:t xml:space="preserve">if </w:t>
      </w:r>
      <w:r w:rsidR="00F47CDD">
        <w:rPr>
          <w:b/>
        </w:rPr>
        <w:t>configured)</w:t>
      </w:r>
      <w:r w:rsidR="002F61CF">
        <w:rPr>
          <w:b/>
        </w:rPr>
        <w:t xml:space="preserve">, i.e. </w:t>
      </w:r>
      <w:r w:rsidR="00BE0690">
        <w:rPr>
          <w:b/>
        </w:rPr>
        <w:t xml:space="preserve">the </w:t>
      </w:r>
      <w:r w:rsidR="002F5313">
        <w:rPr>
          <w:b/>
        </w:rPr>
        <w:t>configured CGT/CGRT</w:t>
      </w:r>
      <w:r w:rsidR="00B0449F">
        <w:rPr>
          <w:b/>
        </w:rPr>
        <w:t xml:space="preserve"> </w:t>
      </w:r>
      <w:r w:rsidR="00BE0690">
        <w:rPr>
          <w:b/>
        </w:rPr>
        <w:t>value is</w:t>
      </w:r>
      <w:r w:rsidR="00B0449F">
        <w:rPr>
          <w:b/>
        </w:rPr>
        <w:t xml:space="preserve"> extended</w:t>
      </w:r>
      <w:r w:rsidR="002F61CF">
        <w:rPr>
          <w:b/>
        </w:rPr>
        <w:t xml:space="preserve"> by UE-specific RTD</w:t>
      </w:r>
      <w:r w:rsidR="001318E9">
        <w:rPr>
          <w:b/>
        </w:rPr>
        <w:t>.</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44B6DB7F" w:rsidR="00AC7D8C" w:rsidRDefault="00A93AFE" w:rsidP="00B166DB">
      <w:r w:rsidRPr="00A93AFE">
        <w:t>In this contribution, we discuss the impact of the large</w:t>
      </w:r>
      <w:r w:rsidR="00AB7D70">
        <w:t xml:space="preserve"> differential delay </w:t>
      </w:r>
      <w:r w:rsidRPr="00A93AFE">
        <w:t xml:space="preserve">on </w:t>
      </w:r>
      <w:r w:rsidR="00AB7D70">
        <w:t xml:space="preserve">the </w:t>
      </w:r>
      <w:r w:rsidRPr="00A93AFE">
        <w:t xml:space="preserve">configured grant timer and </w:t>
      </w:r>
      <w:r w:rsidR="00AB7D70">
        <w:t xml:space="preserve">the </w:t>
      </w:r>
      <w:r w:rsidRPr="00A93AFE">
        <w:t xml:space="preserve">configured grant retransmission timer in NTN, and have the following </w:t>
      </w:r>
      <w:r w:rsidR="00AB7D70">
        <w:t>observations and proposal:</w:t>
      </w:r>
    </w:p>
    <w:p w14:paraId="3AEE6761" w14:textId="1873D55B" w:rsidR="00AB7D70" w:rsidRPr="00A93AFE" w:rsidRDefault="00AB7D70" w:rsidP="00AB7D70">
      <w:pPr>
        <w:rPr>
          <w:b/>
        </w:rPr>
      </w:pPr>
      <w:r w:rsidRPr="00A93AFE">
        <w:rPr>
          <w:b/>
        </w:rPr>
        <w:t>Observation</w:t>
      </w:r>
      <w:r>
        <w:rPr>
          <w:b/>
        </w:rPr>
        <w:t xml:space="preserve"> 1</w:t>
      </w:r>
      <w:r w:rsidRPr="00A93AFE">
        <w:rPr>
          <w:b/>
        </w:rPr>
        <w:t xml:space="preserve">: </w:t>
      </w:r>
      <w:r>
        <w:rPr>
          <w:b/>
        </w:rPr>
        <w:t>If</w:t>
      </w:r>
      <w:r w:rsidRPr="00A93AFE">
        <w:rPr>
          <w:b/>
        </w:rPr>
        <w:t xml:space="preserve"> the </w:t>
      </w:r>
      <w:r>
        <w:rPr>
          <w:b/>
        </w:rPr>
        <w:t>CGT value is always based on the worst case (</w:t>
      </w:r>
      <w:r w:rsidRPr="00A93AFE">
        <w:rPr>
          <w:b/>
        </w:rPr>
        <w:t>largest RTD</w:t>
      </w:r>
      <w:r>
        <w:rPr>
          <w:b/>
        </w:rPr>
        <w:t xml:space="preserve"> for the cell) for all UEs, there may be a</w:t>
      </w:r>
      <w:r w:rsidRPr="00A93AFE">
        <w:rPr>
          <w:b/>
        </w:rPr>
        <w:t xml:space="preserve"> waste of configured grant resources for some (near) UEs.</w:t>
      </w:r>
    </w:p>
    <w:p w14:paraId="222015A8" w14:textId="2ECCC074" w:rsidR="00AB7D70" w:rsidRDefault="00AB7D70" w:rsidP="00AB7D70">
      <w:r w:rsidRPr="00A93AFE">
        <w:rPr>
          <w:b/>
        </w:rPr>
        <w:t>Observation</w:t>
      </w:r>
      <w:r>
        <w:rPr>
          <w:b/>
        </w:rPr>
        <w:t xml:space="preserve"> 2</w:t>
      </w:r>
      <w:r w:rsidRPr="00A93AFE">
        <w:rPr>
          <w:b/>
        </w:rPr>
        <w:t xml:space="preserve">: </w:t>
      </w:r>
      <w:r>
        <w:rPr>
          <w:b/>
        </w:rPr>
        <w:t>If</w:t>
      </w:r>
      <w:r w:rsidRPr="00A93AFE">
        <w:rPr>
          <w:b/>
        </w:rPr>
        <w:t xml:space="preserve"> the </w:t>
      </w:r>
      <w:r>
        <w:rPr>
          <w:b/>
        </w:rPr>
        <w:t>CGRT value is always based on the worst case (</w:t>
      </w:r>
      <w:r w:rsidRPr="00A93AFE">
        <w:rPr>
          <w:b/>
        </w:rPr>
        <w:t>largest RTD</w:t>
      </w:r>
      <w:r>
        <w:rPr>
          <w:b/>
        </w:rPr>
        <w:t xml:space="preserve"> for the cell) for all UEs, autonomous retransmissions on CGs may be delayed unnecessarily for some (near) UEs.</w:t>
      </w:r>
    </w:p>
    <w:p w14:paraId="40F5FA4F" w14:textId="1703056F" w:rsidR="00AB7D70" w:rsidRPr="0002208B" w:rsidRDefault="00AB7D70" w:rsidP="00AB7D70">
      <w:pPr>
        <w:rPr>
          <w:b/>
        </w:rPr>
      </w:pPr>
      <w:r w:rsidRPr="0002208B">
        <w:rPr>
          <w:b/>
        </w:rPr>
        <w:t>Proposal:</w:t>
      </w:r>
      <w:r>
        <w:rPr>
          <w:b/>
        </w:rPr>
        <w:t xml:space="preserve"> UE specific pre-compensation offset for round trip delay (RTD) is applied to CGT and CGRT (if configured), i.e. the configured CGT/CGRT value is extended by UE-specific RTD.</w:t>
      </w:r>
    </w:p>
    <w:p w14:paraId="360F7386" w14:textId="77777777" w:rsidR="00AB7D70" w:rsidRPr="00A93AFE" w:rsidRDefault="00AB7D70" w:rsidP="00B166DB"/>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4793416B" w:rsidR="0078057B" w:rsidRDefault="000D69A0" w:rsidP="000D69A0">
      <w:pPr>
        <w:pStyle w:val="ListParagraph"/>
        <w:numPr>
          <w:ilvl w:val="0"/>
          <w:numId w:val="1"/>
        </w:numPr>
        <w:overflowPunct/>
        <w:autoSpaceDE/>
        <w:autoSpaceDN/>
        <w:adjustRightInd/>
        <w:spacing w:after="60"/>
        <w:contextualSpacing w:val="0"/>
        <w:textAlignment w:val="auto"/>
      </w:pPr>
      <w:bookmarkStart w:id="5" w:name="_Ref54167885"/>
      <w:r>
        <w:t xml:space="preserve">TR 38.821 </w:t>
      </w:r>
      <w:r w:rsidRPr="000D69A0">
        <w:t>Solutions for NR to support non-terrestrial networks (NTN)</w:t>
      </w:r>
      <w:bookmarkEnd w:id="5"/>
    </w:p>
    <w:p w14:paraId="7741834E" w14:textId="2E866719" w:rsidR="000D69A0" w:rsidRDefault="000D69A0" w:rsidP="000D69A0">
      <w:pPr>
        <w:pStyle w:val="ListParagraph"/>
        <w:numPr>
          <w:ilvl w:val="0"/>
          <w:numId w:val="1"/>
        </w:numPr>
        <w:overflowPunct/>
        <w:autoSpaceDE/>
        <w:autoSpaceDN/>
        <w:adjustRightInd/>
        <w:spacing w:after="60"/>
        <w:contextualSpacing w:val="0"/>
        <w:textAlignment w:val="auto"/>
      </w:pPr>
      <w:bookmarkStart w:id="6" w:name="_Ref54167908"/>
      <w:r w:rsidRPr="000D69A0">
        <w:t>Draft_RAN2_111-e_Meeting_Report_v1</w:t>
      </w:r>
      <w:bookmarkEnd w:id="6"/>
    </w:p>
    <w:p w14:paraId="15EAA50E" w14:textId="5B7152D8" w:rsidR="006F0EB5" w:rsidRPr="00D46A4D" w:rsidRDefault="006F0EB5" w:rsidP="006F0EB5">
      <w:pPr>
        <w:pStyle w:val="ListParagraph"/>
        <w:numPr>
          <w:ilvl w:val="0"/>
          <w:numId w:val="1"/>
        </w:numPr>
        <w:overflowPunct/>
        <w:autoSpaceDE/>
        <w:autoSpaceDN/>
        <w:adjustRightInd/>
        <w:spacing w:after="60"/>
        <w:contextualSpacing w:val="0"/>
        <w:textAlignment w:val="auto"/>
      </w:pPr>
      <w:bookmarkStart w:id="7" w:name="_Ref68006533"/>
      <w:r w:rsidRPr="006F0EB5">
        <w:t>Draft_R2-113-e_Meeting_Report_v1</w:t>
      </w:r>
      <w:bookmarkEnd w:id="7"/>
      <w:bookmarkEnd w:id="0"/>
    </w:p>
    <w:sectPr w:rsidR="006F0EB5" w:rsidRPr="00D46A4D"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A36D2" w14:textId="77777777" w:rsidR="002A6813" w:rsidRDefault="002A6813" w:rsidP="00BD754F">
      <w:pPr>
        <w:spacing w:after="0"/>
      </w:pPr>
      <w:r>
        <w:separator/>
      </w:r>
    </w:p>
  </w:endnote>
  <w:endnote w:type="continuationSeparator" w:id="0">
    <w:p w14:paraId="64C19EC4" w14:textId="77777777" w:rsidR="002A6813" w:rsidRDefault="002A681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97AA0" w14:textId="77777777" w:rsidR="00B9275D" w:rsidRDefault="00B927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B613F" w14:textId="77777777" w:rsidR="00B9275D" w:rsidRDefault="00B927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78344" w14:textId="77777777" w:rsidR="00B9275D" w:rsidRDefault="00B927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32531" w14:textId="77777777" w:rsidR="002A6813" w:rsidRDefault="002A6813" w:rsidP="00BD754F">
      <w:pPr>
        <w:spacing w:after="0"/>
      </w:pPr>
      <w:r>
        <w:separator/>
      </w:r>
    </w:p>
  </w:footnote>
  <w:footnote w:type="continuationSeparator" w:id="0">
    <w:p w14:paraId="0AE013E0" w14:textId="77777777" w:rsidR="002A6813" w:rsidRDefault="002A681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1A58D" w14:textId="77777777" w:rsidR="00B9275D" w:rsidRDefault="00B927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79930" w14:textId="77777777" w:rsidR="00B9275D" w:rsidRDefault="00B927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B3162" w14:textId="77777777" w:rsidR="00B9275D" w:rsidRDefault="00B92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47060F"/>
    <w:multiLevelType w:val="hybridMultilevel"/>
    <w:tmpl w:val="9F4233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15:restartNumberingAfterBreak="0">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7"/>
  </w:num>
  <w:num w:numId="10">
    <w:abstractNumId w:val="28"/>
  </w:num>
  <w:num w:numId="11">
    <w:abstractNumId w:val="30"/>
  </w:num>
  <w:num w:numId="12">
    <w:abstractNumId w:val="34"/>
  </w:num>
  <w:num w:numId="13">
    <w:abstractNumId w:val="22"/>
  </w:num>
  <w:num w:numId="14">
    <w:abstractNumId w:val="20"/>
  </w:num>
  <w:num w:numId="15">
    <w:abstractNumId w:val="40"/>
  </w:num>
  <w:num w:numId="16">
    <w:abstractNumId w:val="9"/>
  </w:num>
  <w:num w:numId="17">
    <w:abstractNumId w:val="29"/>
  </w:num>
  <w:num w:numId="18">
    <w:abstractNumId w:val="17"/>
  </w:num>
  <w:num w:numId="19">
    <w:abstractNumId w:val="38"/>
  </w:num>
  <w:num w:numId="20">
    <w:abstractNumId w:val="4"/>
  </w:num>
  <w:num w:numId="21">
    <w:abstractNumId w:val="31"/>
  </w:num>
  <w:num w:numId="22">
    <w:abstractNumId w:val="5"/>
  </w:num>
  <w:num w:numId="23">
    <w:abstractNumId w:val="3"/>
  </w:num>
  <w:num w:numId="24">
    <w:abstractNumId w:val="21"/>
  </w:num>
  <w:num w:numId="25">
    <w:abstractNumId w:val="25"/>
  </w:num>
  <w:num w:numId="26">
    <w:abstractNumId w:val="44"/>
  </w:num>
  <w:num w:numId="27">
    <w:abstractNumId w:val="8"/>
  </w:num>
  <w:num w:numId="28">
    <w:abstractNumId w:val="43"/>
  </w:num>
  <w:num w:numId="29">
    <w:abstractNumId w:val="15"/>
  </w:num>
  <w:num w:numId="30">
    <w:abstractNumId w:val="27"/>
  </w:num>
  <w:num w:numId="31">
    <w:abstractNumId w:val="19"/>
  </w:num>
  <w:num w:numId="32">
    <w:abstractNumId w:val="36"/>
  </w:num>
  <w:num w:numId="33">
    <w:abstractNumId w:val="13"/>
  </w:num>
  <w:num w:numId="34">
    <w:abstractNumId w:val="46"/>
  </w:num>
  <w:num w:numId="35">
    <w:abstractNumId w:val="10"/>
  </w:num>
  <w:num w:numId="36">
    <w:abstractNumId w:val="7"/>
  </w:num>
  <w:num w:numId="37">
    <w:abstractNumId w:val="39"/>
  </w:num>
  <w:num w:numId="38">
    <w:abstractNumId w:val="45"/>
  </w:num>
  <w:num w:numId="39">
    <w:abstractNumId w:val="2"/>
  </w:num>
  <w:num w:numId="40">
    <w:abstractNumId w:val="37"/>
  </w:num>
  <w:num w:numId="41">
    <w:abstractNumId w:val="11"/>
  </w:num>
  <w:num w:numId="42">
    <w:abstractNumId w:val="23"/>
  </w:num>
  <w:num w:numId="43">
    <w:abstractNumId w:val="6"/>
  </w:num>
  <w:num w:numId="44">
    <w:abstractNumId w:val="42"/>
  </w:num>
  <w:num w:numId="45">
    <w:abstractNumId w:val="14"/>
  </w:num>
  <w:num w:numId="46">
    <w:abstractNumId w:val="32"/>
  </w:num>
  <w:num w:numId="47">
    <w:abstractNumId w:val="33"/>
  </w:num>
  <w:num w:numId="4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360"/>
    <w:rsid w:val="0002208B"/>
    <w:rsid w:val="00022303"/>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3FCB"/>
    <w:rsid w:val="000548E6"/>
    <w:rsid w:val="00055571"/>
    <w:rsid w:val="00056086"/>
    <w:rsid w:val="00056DFB"/>
    <w:rsid w:val="00056F02"/>
    <w:rsid w:val="00057244"/>
    <w:rsid w:val="00061641"/>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581"/>
    <w:rsid w:val="000950C4"/>
    <w:rsid w:val="0009659E"/>
    <w:rsid w:val="0009689E"/>
    <w:rsid w:val="00096D24"/>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D69A0"/>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1FA1"/>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8E9"/>
    <w:rsid w:val="00131BAF"/>
    <w:rsid w:val="00133F22"/>
    <w:rsid w:val="00135545"/>
    <w:rsid w:val="001365AD"/>
    <w:rsid w:val="00136932"/>
    <w:rsid w:val="00136A7F"/>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27BFD"/>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16F7"/>
    <w:rsid w:val="002525E6"/>
    <w:rsid w:val="00253FF7"/>
    <w:rsid w:val="00254079"/>
    <w:rsid w:val="00255500"/>
    <w:rsid w:val="002579C0"/>
    <w:rsid w:val="0026099E"/>
    <w:rsid w:val="00264BD1"/>
    <w:rsid w:val="00266B0F"/>
    <w:rsid w:val="002676A8"/>
    <w:rsid w:val="00267F1E"/>
    <w:rsid w:val="00267FBD"/>
    <w:rsid w:val="002703B9"/>
    <w:rsid w:val="002705F8"/>
    <w:rsid w:val="00270DDD"/>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12BC"/>
    <w:rsid w:val="00292671"/>
    <w:rsid w:val="00293883"/>
    <w:rsid w:val="00293890"/>
    <w:rsid w:val="00293B0F"/>
    <w:rsid w:val="00294A3F"/>
    <w:rsid w:val="00295983"/>
    <w:rsid w:val="002973E9"/>
    <w:rsid w:val="002A16C1"/>
    <w:rsid w:val="002A21CD"/>
    <w:rsid w:val="002A2E34"/>
    <w:rsid w:val="002A39B2"/>
    <w:rsid w:val="002A3FCF"/>
    <w:rsid w:val="002A4A16"/>
    <w:rsid w:val="002A51D8"/>
    <w:rsid w:val="002A6813"/>
    <w:rsid w:val="002A76A5"/>
    <w:rsid w:val="002A7DF7"/>
    <w:rsid w:val="002B0515"/>
    <w:rsid w:val="002B0FB7"/>
    <w:rsid w:val="002B15B0"/>
    <w:rsid w:val="002B2AA5"/>
    <w:rsid w:val="002B38C7"/>
    <w:rsid w:val="002B63BA"/>
    <w:rsid w:val="002B6617"/>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5313"/>
    <w:rsid w:val="002F61CF"/>
    <w:rsid w:val="002F74A8"/>
    <w:rsid w:val="00300ADC"/>
    <w:rsid w:val="00301D68"/>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48A2"/>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5A7"/>
    <w:rsid w:val="003E4AF5"/>
    <w:rsid w:val="003E61FD"/>
    <w:rsid w:val="003E6BA7"/>
    <w:rsid w:val="003E6C2E"/>
    <w:rsid w:val="003E795C"/>
    <w:rsid w:val="003F0559"/>
    <w:rsid w:val="003F1E73"/>
    <w:rsid w:val="003F22B4"/>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2D22"/>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6CB"/>
    <w:rsid w:val="00427D15"/>
    <w:rsid w:val="004301C1"/>
    <w:rsid w:val="00431D67"/>
    <w:rsid w:val="004321C4"/>
    <w:rsid w:val="004328F9"/>
    <w:rsid w:val="0043338D"/>
    <w:rsid w:val="00434154"/>
    <w:rsid w:val="00434E37"/>
    <w:rsid w:val="00435D57"/>
    <w:rsid w:val="00436BF1"/>
    <w:rsid w:val="00443A5C"/>
    <w:rsid w:val="00443F0A"/>
    <w:rsid w:val="00443F6A"/>
    <w:rsid w:val="004448DB"/>
    <w:rsid w:val="00445453"/>
    <w:rsid w:val="00447249"/>
    <w:rsid w:val="004506C7"/>
    <w:rsid w:val="00452278"/>
    <w:rsid w:val="0045304D"/>
    <w:rsid w:val="00454BF8"/>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24AC"/>
    <w:rsid w:val="00483678"/>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5DD3"/>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4F668D"/>
    <w:rsid w:val="00500584"/>
    <w:rsid w:val="00501303"/>
    <w:rsid w:val="00501E1B"/>
    <w:rsid w:val="0050203E"/>
    <w:rsid w:val="005026F7"/>
    <w:rsid w:val="0050283E"/>
    <w:rsid w:val="005036F7"/>
    <w:rsid w:val="00504C14"/>
    <w:rsid w:val="00505FD7"/>
    <w:rsid w:val="00506E06"/>
    <w:rsid w:val="00506F32"/>
    <w:rsid w:val="00512C8B"/>
    <w:rsid w:val="005133A0"/>
    <w:rsid w:val="00513D22"/>
    <w:rsid w:val="00514C7A"/>
    <w:rsid w:val="00516D66"/>
    <w:rsid w:val="00522E5C"/>
    <w:rsid w:val="00523021"/>
    <w:rsid w:val="00524C9B"/>
    <w:rsid w:val="00524D77"/>
    <w:rsid w:val="00527158"/>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5FF2"/>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6F4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28FA"/>
    <w:rsid w:val="005F3D90"/>
    <w:rsid w:val="005F5897"/>
    <w:rsid w:val="005F6607"/>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A30"/>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2B9"/>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50F6"/>
    <w:rsid w:val="006A61C5"/>
    <w:rsid w:val="006B056D"/>
    <w:rsid w:val="006B0A23"/>
    <w:rsid w:val="006B0F09"/>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0EB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71C"/>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057B"/>
    <w:rsid w:val="00782238"/>
    <w:rsid w:val="007822F5"/>
    <w:rsid w:val="00783822"/>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2E8F"/>
    <w:rsid w:val="007B3610"/>
    <w:rsid w:val="007B4064"/>
    <w:rsid w:val="007B4125"/>
    <w:rsid w:val="007B4908"/>
    <w:rsid w:val="007B59AD"/>
    <w:rsid w:val="007B7802"/>
    <w:rsid w:val="007C0832"/>
    <w:rsid w:val="007C1377"/>
    <w:rsid w:val="007C1647"/>
    <w:rsid w:val="007C2371"/>
    <w:rsid w:val="007C26DB"/>
    <w:rsid w:val="007C397A"/>
    <w:rsid w:val="007C3B93"/>
    <w:rsid w:val="007C3C07"/>
    <w:rsid w:val="007C4206"/>
    <w:rsid w:val="007C46F6"/>
    <w:rsid w:val="007C66C0"/>
    <w:rsid w:val="007C69CF"/>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A39"/>
    <w:rsid w:val="00816062"/>
    <w:rsid w:val="00817344"/>
    <w:rsid w:val="00820897"/>
    <w:rsid w:val="008239A2"/>
    <w:rsid w:val="00823A79"/>
    <w:rsid w:val="00823AE6"/>
    <w:rsid w:val="0082712B"/>
    <w:rsid w:val="00827D2A"/>
    <w:rsid w:val="00827E48"/>
    <w:rsid w:val="00830F98"/>
    <w:rsid w:val="0083160B"/>
    <w:rsid w:val="00832CE4"/>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4FC"/>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D41"/>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4D91"/>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700E"/>
    <w:rsid w:val="009510F5"/>
    <w:rsid w:val="009517C0"/>
    <w:rsid w:val="00951E4D"/>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772B6"/>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A48"/>
    <w:rsid w:val="009C044F"/>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24CF"/>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1CAF"/>
    <w:rsid w:val="009F2130"/>
    <w:rsid w:val="009F27CE"/>
    <w:rsid w:val="009F2F11"/>
    <w:rsid w:val="009F40A3"/>
    <w:rsid w:val="009F46EA"/>
    <w:rsid w:val="009F66DC"/>
    <w:rsid w:val="009F7FBE"/>
    <w:rsid w:val="00A005C5"/>
    <w:rsid w:val="00A020E5"/>
    <w:rsid w:val="00A03FB3"/>
    <w:rsid w:val="00A07680"/>
    <w:rsid w:val="00A134E4"/>
    <w:rsid w:val="00A143A6"/>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1F5B"/>
    <w:rsid w:val="00A55C3A"/>
    <w:rsid w:val="00A575BB"/>
    <w:rsid w:val="00A578BA"/>
    <w:rsid w:val="00A57AED"/>
    <w:rsid w:val="00A6392B"/>
    <w:rsid w:val="00A639D2"/>
    <w:rsid w:val="00A64AED"/>
    <w:rsid w:val="00A65267"/>
    <w:rsid w:val="00A67530"/>
    <w:rsid w:val="00A67926"/>
    <w:rsid w:val="00A70661"/>
    <w:rsid w:val="00A71103"/>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3AFE"/>
    <w:rsid w:val="00AA1671"/>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B7D70"/>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449F"/>
    <w:rsid w:val="00B05B9C"/>
    <w:rsid w:val="00B07362"/>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59D9"/>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1F92"/>
    <w:rsid w:val="00B9275D"/>
    <w:rsid w:val="00B92BA8"/>
    <w:rsid w:val="00B92D93"/>
    <w:rsid w:val="00B9322B"/>
    <w:rsid w:val="00B95298"/>
    <w:rsid w:val="00B9535C"/>
    <w:rsid w:val="00B962F8"/>
    <w:rsid w:val="00B97018"/>
    <w:rsid w:val="00B9773A"/>
    <w:rsid w:val="00BA043F"/>
    <w:rsid w:val="00BA136E"/>
    <w:rsid w:val="00BA2B41"/>
    <w:rsid w:val="00BA3769"/>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0690"/>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0D72"/>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519F"/>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046D"/>
    <w:rsid w:val="00C913DF"/>
    <w:rsid w:val="00C922FD"/>
    <w:rsid w:val="00C93364"/>
    <w:rsid w:val="00C9392A"/>
    <w:rsid w:val="00C94170"/>
    <w:rsid w:val="00C948BC"/>
    <w:rsid w:val="00C9499B"/>
    <w:rsid w:val="00C95AAC"/>
    <w:rsid w:val="00C95EF2"/>
    <w:rsid w:val="00C95F09"/>
    <w:rsid w:val="00CA1161"/>
    <w:rsid w:val="00CA17BE"/>
    <w:rsid w:val="00CA1C59"/>
    <w:rsid w:val="00CA23A9"/>
    <w:rsid w:val="00CA50A6"/>
    <w:rsid w:val="00CA50D7"/>
    <w:rsid w:val="00CA6C7A"/>
    <w:rsid w:val="00CA7C3C"/>
    <w:rsid w:val="00CA7F2D"/>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298"/>
    <w:rsid w:val="00D00B9F"/>
    <w:rsid w:val="00D00D2F"/>
    <w:rsid w:val="00D01D9B"/>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05"/>
    <w:rsid w:val="00D2693D"/>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FD"/>
    <w:rsid w:val="00D548D9"/>
    <w:rsid w:val="00D5528D"/>
    <w:rsid w:val="00D5612C"/>
    <w:rsid w:val="00D561F2"/>
    <w:rsid w:val="00D56AE5"/>
    <w:rsid w:val="00D57082"/>
    <w:rsid w:val="00D60B00"/>
    <w:rsid w:val="00D61208"/>
    <w:rsid w:val="00D626F1"/>
    <w:rsid w:val="00D628E0"/>
    <w:rsid w:val="00D65026"/>
    <w:rsid w:val="00D67836"/>
    <w:rsid w:val="00D70EFF"/>
    <w:rsid w:val="00D717D8"/>
    <w:rsid w:val="00D72015"/>
    <w:rsid w:val="00D72A99"/>
    <w:rsid w:val="00D7590C"/>
    <w:rsid w:val="00D75ADA"/>
    <w:rsid w:val="00D76DB5"/>
    <w:rsid w:val="00D77911"/>
    <w:rsid w:val="00D80E3B"/>
    <w:rsid w:val="00D81354"/>
    <w:rsid w:val="00D81391"/>
    <w:rsid w:val="00D82004"/>
    <w:rsid w:val="00D83C6D"/>
    <w:rsid w:val="00D879EB"/>
    <w:rsid w:val="00D901B5"/>
    <w:rsid w:val="00D9074D"/>
    <w:rsid w:val="00D9257F"/>
    <w:rsid w:val="00D92925"/>
    <w:rsid w:val="00D92C95"/>
    <w:rsid w:val="00D938C5"/>
    <w:rsid w:val="00D93AE1"/>
    <w:rsid w:val="00D944D5"/>
    <w:rsid w:val="00D9601A"/>
    <w:rsid w:val="00D9683F"/>
    <w:rsid w:val="00D970B5"/>
    <w:rsid w:val="00DA04E5"/>
    <w:rsid w:val="00DA1004"/>
    <w:rsid w:val="00DA4FE7"/>
    <w:rsid w:val="00DB020D"/>
    <w:rsid w:val="00DB11C7"/>
    <w:rsid w:val="00DB154D"/>
    <w:rsid w:val="00DB1A89"/>
    <w:rsid w:val="00DB1AF2"/>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762"/>
    <w:rsid w:val="00E725A5"/>
    <w:rsid w:val="00E728A0"/>
    <w:rsid w:val="00E72A21"/>
    <w:rsid w:val="00E73EC7"/>
    <w:rsid w:val="00E7423A"/>
    <w:rsid w:val="00E75632"/>
    <w:rsid w:val="00E75837"/>
    <w:rsid w:val="00E75B12"/>
    <w:rsid w:val="00E76BAA"/>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1E11"/>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59A0"/>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784"/>
    <w:rsid w:val="00F20822"/>
    <w:rsid w:val="00F20BBF"/>
    <w:rsid w:val="00F21069"/>
    <w:rsid w:val="00F21D9C"/>
    <w:rsid w:val="00F22C5D"/>
    <w:rsid w:val="00F23210"/>
    <w:rsid w:val="00F23316"/>
    <w:rsid w:val="00F23632"/>
    <w:rsid w:val="00F236C1"/>
    <w:rsid w:val="00F240DB"/>
    <w:rsid w:val="00F2655B"/>
    <w:rsid w:val="00F26B4B"/>
    <w:rsid w:val="00F306F2"/>
    <w:rsid w:val="00F3163C"/>
    <w:rsid w:val="00F3192C"/>
    <w:rsid w:val="00F31D36"/>
    <w:rsid w:val="00F31DB7"/>
    <w:rsid w:val="00F32156"/>
    <w:rsid w:val="00F328DD"/>
    <w:rsid w:val="00F32BA5"/>
    <w:rsid w:val="00F34D01"/>
    <w:rsid w:val="00F35DE7"/>
    <w:rsid w:val="00F37AA8"/>
    <w:rsid w:val="00F423D5"/>
    <w:rsid w:val="00F426A6"/>
    <w:rsid w:val="00F4282C"/>
    <w:rsid w:val="00F47312"/>
    <w:rsid w:val="00F473F6"/>
    <w:rsid w:val="00F47CDD"/>
    <w:rsid w:val="00F509FD"/>
    <w:rsid w:val="00F51B40"/>
    <w:rsid w:val="00F531D9"/>
    <w:rsid w:val="00F53AAE"/>
    <w:rsid w:val="00F543E0"/>
    <w:rsid w:val="00F556D3"/>
    <w:rsid w:val="00F556EA"/>
    <w:rsid w:val="00F55C99"/>
    <w:rsid w:val="00F55CA4"/>
    <w:rsid w:val="00F604FA"/>
    <w:rsid w:val="00F60E0F"/>
    <w:rsid w:val="00F61B3B"/>
    <w:rsid w:val="00F61D6C"/>
    <w:rsid w:val="00F62305"/>
    <w:rsid w:val="00F63A0D"/>
    <w:rsid w:val="00F65055"/>
    <w:rsid w:val="00F70103"/>
    <w:rsid w:val="00F7097D"/>
    <w:rsid w:val="00F70D1B"/>
    <w:rsid w:val="00F71453"/>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9D"/>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1B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6D06"/>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character" w:customStyle="1" w:styleId="B3Char2">
    <w:name w:val="B3 Char2"/>
    <w:qFormat/>
    <w:rsid w:val="00F32B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807DA-7560-4346-96F4-4D8BDA13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2021-03-31T12:27:00Z</dcterms:modified>
</cp:coreProperties>
</file>